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7D" w:rsidRDefault="0099167D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b/>
          <w:sz w:val="24"/>
          <w:szCs w:val="24"/>
        </w:rPr>
      </w:pPr>
      <w:r w:rsidRPr="0099167D">
        <w:rPr>
          <w:rFonts w:eastAsia="Times New Roman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3190875</wp:posOffset>
            </wp:positionH>
            <wp:positionV relativeFrom="paragraph">
              <wp:posOffset>-542290</wp:posOffset>
            </wp:positionV>
            <wp:extent cx="757452" cy="723900"/>
            <wp:effectExtent l="0" t="0" r="5080" b="0"/>
            <wp:wrapNone/>
            <wp:docPr id="1" name="Picture 1" descr="C:\Users\92333\Desktop\desktop 4 july,2019\Letter head\sog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2333\Desktop\desktop 4 july,2019\Letter head\sogp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745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9167D" w:rsidRDefault="0099167D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b/>
          <w:sz w:val="24"/>
          <w:szCs w:val="24"/>
        </w:rPr>
      </w:pPr>
    </w:p>
    <w:p w:rsidR="000E34DC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b/>
          <w:sz w:val="24"/>
          <w:szCs w:val="24"/>
        </w:rPr>
        <w:t xml:space="preserve">Suggested protocol for Cervical Cancer Prevention in </w:t>
      </w:r>
      <w:proofErr w:type="gramStart"/>
      <w:r w:rsidRPr="00594DCF">
        <w:rPr>
          <w:rFonts w:eastAsia="Times New Roman" w:cs="Arial"/>
          <w:b/>
          <w:sz w:val="24"/>
          <w:szCs w:val="24"/>
        </w:rPr>
        <w:t>Pakistan</w:t>
      </w:r>
      <w:r w:rsidRPr="00594DCF">
        <w:rPr>
          <w:rFonts w:eastAsia="Times New Roman" w:cs="Arial"/>
          <w:sz w:val="24"/>
          <w:szCs w:val="24"/>
        </w:rPr>
        <w:t xml:space="preserve"> :</w:t>
      </w:r>
      <w:proofErr w:type="gramEnd"/>
    </w:p>
    <w:p w:rsidR="000E34DC" w:rsidRDefault="00031FA8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i/>
        </w:rPr>
      </w:pPr>
      <w:r w:rsidRPr="00031FA8">
        <w:rPr>
          <w:rFonts w:eastAsia="Times New Roman" w:cs="Arial"/>
          <w:i/>
        </w:rPr>
        <w:t xml:space="preserve">Prof </w:t>
      </w:r>
      <w:proofErr w:type="spellStart"/>
      <w:r w:rsidRPr="00031FA8">
        <w:rPr>
          <w:rFonts w:eastAsia="Times New Roman" w:cs="Arial"/>
          <w:i/>
        </w:rPr>
        <w:t>Sadiah</w:t>
      </w:r>
      <w:proofErr w:type="spellEnd"/>
      <w:r w:rsidRPr="00031FA8">
        <w:rPr>
          <w:rFonts w:eastAsia="Times New Roman" w:cs="Arial"/>
          <w:i/>
        </w:rPr>
        <w:t xml:space="preserve"> Ahsan Pal</w:t>
      </w:r>
      <w:r>
        <w:rPr>
          <w:rFonts w:eastAsia="Times New Roman" w:cs="Arial"/>
          <w:i/>
        </w:rPr>
        <w:t xml:space="preserve"> for SOGP</w:t>
      </w:r>
    </w:p>
    <w:p w:rsidR="00031FA8" w:rsidRPr="00031FA8" w:rsidRDefault="00031FA8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i/>
        </w:rPr>
      </w:pP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b/>
          <w:sz w:val="24"/>
          <w:szCs w:val="24"/>
        </w:rPr>
        <w:t xml:space="preserve">Primary </w:t>
      </w:r>
      <w:proofErr w:type="gramStart"/>
      <w:r w:rsidRPr="00594DCF">
        <w:rPr>
          <w:rFonts w:eastAsia="Times New Roman" w:cs="Arial"/>
          <w:b/>
          <w:sz w:val="24"/>
          <w:szCs w:val="24"/>
        </w:rPr>
        <w:t>Prevention</w:t>
      </w:r>
      <w:r w:rsidRPr="00594DCF">
        <w:rPr>
          <w:rFonts w:eastAsia="Times New Roman" w:cs="Arial"/>
          <w:sz w:val="24"/>
          <w:szCs w:val="24"/>
        </w:rPr>
        <w:t xml:space="preserve"> :</w:t>
      </w:r>
      <w:proofErr w:type="gramEnd"/>
      <w:r>
        <w:rPr>
          <w:rFonts w:eastAsia="Times New Roman" w:cs="Arial"/>
          <w:sz w:val="24"/>
          <w:szCs w:val="24"/>
        </w:rPr>
        <w:t xml:space="preserve"> </w:t>
      </w:r>
      <w:r w:rsidRPr="00594DCF">
        <w:rPr>
          <w:rFonts w:eastAsia="Times New Roman" w:cs="Arial"/>
          <w:sz w:val="24"/>
          <w:szCs w:val="24"/>
        </w:rPr>
        <w:t xml:space="preserve"> HPV Vaccination</w:t>
      </w:r>
    </w:p>
    <w:p w:rsidR="000E34DC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9D62B9">
        <w:rPr>
          <w:rFonts w:eastAsia="Times New Roman" w:cs="Arial"/>
          <w:b/>
          <w:sz w:val="24"/>
          <w:szCs w:val="24"/>
        </w:rPr>
        <w:t>Dosage for Bivalent Vaccine</w:t>
      </w:r>
      <w:r w:rsidRPr="00594DCF">
        <w:rPr>
          <w:rFonts w:eastAsia="Times New Roman" w:cs="Arial"/>
          <w:sz w:val="24"/>
          <w:szCs w:val="24"/>
        </w:rPr>
        <w:t xml:space="preserve"> (</w:t>
      </w:r>
      <w:proofErr w:type="spellStart"/>
      <w:r w:rsidRPr="00594DCF">
        <w:rPr>
          <w:rFonts w:eastAsia="Times New Roman" w:cs="Arial"/>
          <w:sz w:val="24"/>
          <w:szCs w:val="24"/>
        </w:rPr>
        <w:t>Cervarix</w:t>
      </w:r>
      <w:proofErr w:type="spellEnd"/>
      <w:r w:rsidRPr="00594DCF">
        <w:rPr>
          <w:rFonts w:eastAsia="Times New Roman" w:cs="Arial"/>
          <w:sz w:val="24"/>
          <w:szCs w:val="24"/>
        </w:rPr>
        <w:t>):</w:t>
      </w:r>
      <w:r w:rsidR="009D62B9">
        <w:rPr>
          <w:rFonts w:eastAsia="Times New Roman" w:cs="Arial"/>
          <w:sz w:val="24"/>
          <w:szCs w:val="24"/>
        </w:rPr>
        <w:t xml:space="preserve"> (Prevents 70% of </w:t>
      </w:r>
      <w:proofErr w:type="gramStart"/>
      <w:r w:rsidR="009D62B9">
        <w:rPr>
          <w:rFonts w:eastAsia="Times New Roman" w:cs="Arial"/>
          <w:sz w:val="24"/>
          <w:szCs w:val="24"/>
        </w:rPr>
        <w:t>Cervical</w:t>
      </w:r>
      <w:proofErr w:type="gramEnd"/>
      <w:r w:rsidR="009D62B9">
        <w:rPr>
          <w:rFonts w:eastAsia="Times New Roman" w:cs="Arial"/>
          <w:sz w:val="24"/>
          <w:szCs w:val="24"/>
        </w:rPr>
        <w:t xml:space="preserve"> cancer)</w:t>
      </w: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sz w:val="24"/>
          <w:szCs w:val="24"/>
        </w:rPr>
        <w:t xml:space="preserve">2 dose </w:t>
      </w:r>
      <w:proofErr w:type="gramStart"/>
      <w:r w:rsidRPr="00594DCF">
        <w:rPr>
          <w:rFonts w:eastAsia="Times New Roman" w:cs="Arial"/>
          <w:sz w:val="24"/>
          <w:szCs w:val="24"/>
        </w:rPr>
        <w:t>regimen :</w:t>
      </w:r>
      <w:proofErr w:type="gramEnd"/>
      <w:r w:rsidRPr="00594DCF">
        <w:rPr>
          <w:rFonts w:eastAsia="Times New Roman" w:cs="Arial"/>
          <w:sz w:val="24"/>
          <w:szCs w:val="24"/>
        </w:rPr>
        <w:t xml:space="preserve"> 0 &amp; 6 months for girls 9-14 yrs (in school or just before leaving school) (ref 6)</w:t>
      </w: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sz w:val="24"/>
          <w:szCs w:val="24"/>
        </w:rPr>
        <w:t>3 dose regimen: 0, 1 &amp; 6 months, for girls 15 -26 yrs of age, preferably before marriage</w:t>
      </w:r>
    </w:p>
    <w:p w:rsidR="000E34DC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9D62B9">
        <w:rPr>
          <w:rFonts w:eastAsia="Times New Roman" w:cs="Arial"/>
          <w:b/>
          <w:sz w:val="24"/>
          <w:szCs w:val="24"/>
        </w:rPr>
        <w:t xml:space="preserve">Dosage for </w:t>
      </w:r>
      <w:proofErr w:type="spellStart"/>
      <w:r w:rsidRPr="009D62B9">
        <w:rPr>
          <w:rFonts w:eastAsia="Times New Roman" w:cs="Arial"/>
          <w:b/>
          <w:sz w:val="24"/>
          <w:szCs w:val="24"/>
        </w:rPr>
        <w:t>Quadrivalent</w:t>
      </w:r>
      <w:proofErr w:type="spellEnd"/>
      <w:r w:rsidRPr="009D62B9">
        <w:rPr>
          <w:rFonts w:eastAsia="Times New Roman" w:cs="Arial"/>
          <w:b/>
          <w:sz w:val="24"/>
          <w:szCs w:val="24"/>
        </w:rPr>
        <w:t xml:space="preserve"> Vaccine</w:t>
      </w:r>
      <w:r w:rsidRPr="00594DCF">
        <w:rPr>
          <w:rFonts w:eastAsia="Times New Roman" w:cs="Arial"/>
          <w:sz w:val="24"/>
          <w:szCs w:val="24"/>
        </w:rPr>
        <w:t xml:space="preserve"> (Gardasil)</w:t>
      </w:r>
      <w:r w:rsidR="009D62B9">
        <w:rPr>
          <w:rFonts w:eastAsia="Times New Roman" w:cs="Arial"/>
          <w:sz w:val="24"/>
          <w:szCs w:val="24"/>
        </w:rPr>
        <w:t xml:space="preserve"> &amp; </w:t>
      </w:r>
      <w:proofErr w:type="spellStart"/>
      <w:r w:rsidR="009D62B9">
        <w:rPr>
          <w:rFonts w:eastAsia="Times New Roman" w:cs="Arial"/>
          <w:sz w:val="24"/>
          <w:szCs w:val="24"/>
        </w:rPr>
        <w:t>Nonavalent</w:t>
      </w:r>
      <w:proofErr w:type="spellEnd"/>
      <w:r w:rsidR="009D62B9">
        <w:rPr>
          <w:rFonts w:eastAsia="Times New Roman" w:cs="Arial"/>
          <w:sz w:val="24"/>
          <w:szCs w:val="24"/>
        </w:rPr>
        <w:t xml:space="preserve"> Vaccine</w:t>
      </w:r>
      <w:r w:rsidRPr="00594DCF">
        <w:rPr>
          <w:rFonts w:eastAsia="Times New Roman" w:cs="Arial"/>
          <w:sz w:val="24"/>
          <w:szCs w:val="24"/>
        </w:rPr>
        <w:t>:</w:t>
      </w: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sz w:val="24"/>
          <w:szCs w:val="24"/>
        </w:rPr>
        <w:t xml:space="preserve">3 dose </w:t>
      </w:r>
      <w:proofErr w:type="gramStart"/>
      <w:r w:rsidRPr="00594DCF">
        <w:rPr>
          <w:rFonts w:eastAsia="Times New Roman" w:cs="Arial"/>
          <w:sz w:val="24"/>
          <w:szCs w:val="24"/>
        </w:rPr>
        <w:t>regimen :</w:t>
      </w:r>
      <w:proofErr w:type="gramEnd"/>
      <w:r w:rsidRPr="00594DCF">
        <w:rPr>
          <w:rFonts w:eastAsia="Times New Roman" w:cs="Arial"/>
          <w:sz w:val="24"/>
          <w:szCs w:val="24"/>
        </w:rPr>
        <w:t xml:space="preserve"> 0, 2 &amp; 6 months, for girls 9-14 yrs (in school or just before leaving school)</w:t>
      </w:r>
    </w:p>
    <w:p w:rsidR="000E34DC" w:rsidRDefault="009D62B9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Either of the </w:t>
      </w:r>
      <w:r w:rsidR="000E34DC" w:rsidRPr="00594DCF">
        <w:rPr>
          <w:rFonts w:eastAsia="Times New Roman" w:cs="Arial"/>
          <w:sz w:val="24"/>
          <w:szCs w:val="24"/>
        </w:rPr>
        <w:t>available vaccin</w:t>
      </w:r>
      <w:r>
        <w:rPr>
          <w:rFonts w:eastAsia="Times New Roman" w:cs="Arial"/>
          <w:sz w:val="24"/>
          <w:szCs w:val="24"/>
        </w:rPr>
        <w:t>es may be employed</w:t>
      </w:r>
    </w:p>
    <w:p w:rsidR="009D62B9" w:rsidRPr="00594DCF" w:rsidRDefault="009D62B9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</w:p>
    <w:tbl>
      <w:tblPr>
        <w:tblW w:w="104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560"/>
        <w:gridCol w:w="3680"/>
      </w:tblGrid>
      <w:tr w:rsidR="009D62B9" w:rsidRPr="009D62B9" w:rsidTr="009D62B9">
        <w:trPr>
          <w:trHeight w:val="691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FF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1F497D" w:themeColor="text2"/>
                <w:kern w:val="24"/>
                <w:sz w:val="24"/>
                <w:szCs w:val="24"/>
              </w:rPr>
              <w:t>Bivalent</w:t>
            </w:r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FF0000"/>
                <w:kern w:val="24"/>
                <w:sz w:val="24"/>
                <w:szCs w:val="24"/>
              </w:rPr>
              <w:t>16  18</w:t>
            </w:r>
          </w:p>
        </w:tc>
        <w:tc>
          <w:tcPr>
            <w:tcW w:w="3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FF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1F497D" w:themeColor="text2"/>
                <w:kern w:val="24"/>
                <w:sz w:val="24"/>
                <w:szCs w:val="24"/>
              </w:rPr>
              <w:t>Quadrivalent</w:t>
            </w:r>
            <w:proofErr w:type="spellEnd"/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MS PGothic" w:hAnsi="Arial" w:cs="Arial Unicode MS"/>
                <w:b/>
                <w:bCs/>
                <w:color w:val="FF0000"/>
                <w:kern w:val="24"/>
                <w:sz w:val="24"/>
                <w:szCs w:val="24"/>
                <w:lang w:val="en-GB"/>
              </w:rPr>
              <w:t>16  18  6  11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7FF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1F497D" w:themeColor="text2"/>
                <w:kern w:val="24"/>
                <w:sz w:val="24"/>
                <w:szCs w:val="24"/>
              </w:rPr>
              <w:t>Nonavalent</w:t>
            </w:r>
            <w:proofErr w:type="spellEnd"/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FF0000"/>
                <w:kern w:val="24"/>
                <w:sz w:val="24"/>
                <w:szCs w:val="24"/>
              </w:rPr>
              <w:t xml:space="preserve">6  11  16  18  31 33 45  52  58 </w:t>
            </w:r>
          </w:p>
        </w:tc>
      </w:tr>
      <w:tr w:rsidR="009D62B9" w:rsidRPr="009D62B9" w:rsidTr="009D62B9">
        <w:trPr>
          <w:trHeight w:val="1146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9-14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: </w:t>
            </w:r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 xml:space="preserve">    0, 6 months </w:t>
            </w:r>
          </w:p>
          <w:p w:rsidR="009D62B9" w:rsidRPr="009D62B9" w:rsidRDefault="009D62B9" w:rsidP="009D62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&gt;15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>0,1,6 months</w:t>
            </w:r>
          </w:p>
        </w:tc>
        <w:tc>
          <w:tcPr>
            <w:tcW w:w="3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numPr>
                <w:ilvl w:val="0"/>
                <w:numId w:val="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9-14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: </w:t>
            </w:r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 xml:space="preserve">     0, 6 months </w:t>
            </w:r>
          </w:p>
          <w:p w:rsidR="009D62B9" w:rsidRPr="009D62B9" w:rsidRDefault="009D62B9" w:rsidP="009D62B9">
            <w:pPr>
              <w:numPr>
                <w:ilvl w:val="0"/>
                <w:numId w:val="4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&gt;15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</w:p>
          <w:p w:rsidR="009D62B9" w:rsidRPr="009D62B9" w:rsidRDefault="009D62B9" w:rsidP="009D62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MS PGothic" w:hAnsi="Arial" w:cs="Arial Unicode MS"/>
                <w:color w:val="000000" w:themeColor="text1"/>
                <w:kern w:val="24"/>
                <w:sz w:val="24"/>
                <w:szCs w:val="24"/>
                <w:lang w:val="en-GB"/>
              </w:rPr>
              <w:t xml:space="preserve">0, 2, 6 months </w:t>
            </w:r>
          </w:p>
        </w:tc>
        <w:tc>
          <w:tcPr>
            <w:tcW w:w="3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2B9" w:rsidRPr="009D62B9" w:rsidRDefault="009D62B9" w:rsidP="009D62B9">
            <w:pPr>
              <w:numPr>
                <w:ilvl w:val="0"/>
                <w:numId w:val="5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9-14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 xml:space="preserve">: </w:t>
            </w:r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 xml:space="preserve">     0, 6 months </w:t>
            </w:r>
          </w:p>
          <w:p w:rsidR="009D62B9" w:rsidRPr="009D62B9" w:rsidRDefault="009D62B9" w:rsidP="009D62B9">
            <w:pPr>
              <w:numPr>
                <w:ilvl w:val="0"/>
                <w:numId w:val="6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&gt;15 </w:t>
            </w:r>
            <w:proofErr w:type="spellStart"/>
            <w:r w:rsidRPr="009D62B9">
              <w:rPr>
                <w:rFonts w:ascii="Arial" w:eastAsia="Arial Unicode MS" w:hAnsi="Arial" w:cs="Arial Unicode MS"/>
                <w:b/>
                <w:bCs/>
                <w:color w:val="000000" w:themeColor="dark1"/>
                <w:kern w:val="24"/>
                <w:sz w:val="24"/>
                <w:szCs w:val="24"/>
              </w:rPr>
              <w:t>yrs</w:t>
            </w:r>
            <w:proofErr w:type="spellEnd"/>
          </w:p>
          <w:p w:rsidR="009D62B9" w:rsidRPr="009D62B9" w:rsidRDefault="009D62B9" w:rsidP="009D62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62B9">
              <w:rPr>
                <w:rFonts w:ascii="Arial" w:eastAsia="Arial Unicode MS" w:hAnsi="Arial" w:cs="Arial Unicode MS"/>
                <w:color w:val="000000" w:themeColor="dark1"/>
                <w:kern w:val="24"/>
                <w:sz w:val="24"/>
                <w:szCs w:val="24"/>
              </w:rPr>
              <w:t xml:space="preserve">    0, 2, 6 months</w:t>
            </w:r>
          </w:p>
        </w:tc>
      </w:tr>
    </w:tbl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b/>
          <w:sz w:val="24"/>
          <w:szCs w:val="24"/>
        </w:rPr>
      </w:pPr>
    </w:p>
    <w:p w:rsidR="000E34DC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 w:rsidRPr="00594DCF">
        <w:rPr>
          <w:rFonts w:eastAsia="Times New Roman" w:cs="Arial"/>
          <w:b/>
          <w:sz w:val="24"/>
          <w:szCs w:val="24"/>
        </w:rPr>
        <w:t xml:space="preserve">Secondary </w:t>
      </w:r>
      <w:proofErr w:type="gramStart"/>
      <w:r w:rsidRPr="00594DCF">
        <w:rPr>
          <w:rFonts w:eastAsia="Times New Roman" w:cs="Arial"/>
          <w:b/>
          <w:sz w:val="24"/>
          <w:szCs w:val="24"/>
        </w:rPr>
        <w:t xml:space="preserve">Prevention </w:t>
      </w:r>
      <w:r w:rsidRPr="00594DCF">
        <w:rPr>
          <w:rFonts w:eastAsia="Times New Roman" w:cs="Arial"/>
          <w:sz w:val="24"/>
          <w:szCs w:val="24"/>
        </w:rPr>
        <w:t>:</w:t>
      </w:r>
      <w:proofErr w:type="gramEnd"/>
      <w:r w:rsidRPr="00594DCF">
        <w:rPr>
          <w:rFonts w:eastAsia="Times New Roman" w:cs="Arial"/>
          <w:sz w:val="24"/>
          <w:szCs w:val="24"/>
        </w:rPr>
        <w:t xml:space="preserve"> </w:t>
      </w:r>
    </w:p>
    <w:p w:rsidR="000E34DC" w:rsidRPr="009D62B9" w:rsidRDefault="009D62B9" w:rsidP="009D62B9">
      <w:pPr>
        <w:shd w:val="clear" w:color="auto" w:fill="FFFFFF"/>
        <w:spacing w:before="86"/>
        <w:textAlignment w:val="baseline"/>
        <w:rPr>
          <w:rFonts w:cs="Arial"/>
        </w:rPr>
      </w:pPr>
      <w:r>
        <w:rPr>
          <w:rFonts w:cs="Arial"/>
        </w:rPr>
        <w:t>*</w:t>
      </w:r>
      <w:r w:rsidR="000E34DC" w:rsidRPr="009D62B9">
        <w:rPr>
          <w:rFonts w:cs="Arial"/>
          <w:b/>
        </w:rPr>
        <w:t>Regular Pap Smears</w:t>
      </w:r>
      <w:r w:rsidR="000E34DC" w:rsidRPr="009D62B9">
        <w:rPr>
          <w:rFonts w:cs="Arial"/>
        </w:rPr>
        <w:t xml:space="preserve"> </w:t>
      </w:r>
      <w:r>
        <w:rPr>
          <w:rFonts w:cs="Arial"/>
        </w:rPr>
        <w:t xml:space="preserve">/ </w:t>
      </w:r>
      <w:r w:rsidRPr="009D62B9">
        <w:rPr>
          <w:rFonts w:cs="Arial"/>
          <w:b/>
        </w:rPr>
        <w:t>Liquid based cytology (LBC)</w:t>
      </w:r>
      <w:r>
        <w:rPr>
          <w:rFonts w:cs="Arial"/>
        </w:rPr>
        <w:t xml:space="preserve"> </w:t>
      </w:r>
      <w:r w:rsidR="000E34DC" w:rsidRPr="009D62B9">
        <w:rPr>
          <w:rFonts w:cs="Arial"/>
        </w:rPr>
        <w:t xml:space="preserve">or </w:t>
      </w:r>
      <w:r w:rsidR="000E34DC" w:rsidRPr="009D62B9">
        <w:rPr>
          <w:rFonts w:cs="Arial"/>
          <w:b/>
        </w:rPr>
        <w:t>VIA</w:t>
      </w:r>
      <w:r w:rsidR="000E34DC" w:rsidRPr="009D62B9">
        <w:rPr>
          <w:rFonts w:cs="Arial"/>
        </w:rPr>
        <w:t xml:space="preserve"> screening should start after </w:t>
      </w:r>
      <w:r w:rsidRPr="009D62B9">
        <w:rPr>
          <w:rFonts w:cs="Arial"/>
        </w:rPr>
        <w:t xml:space="preserve">3 to </w:t>
      </w:r>
      <w:r w:rsidR="000E34DC" w:rsidRPr="009D62B9">
        <w:rPr>
          <w:rFonts w:cs="Arial"/>
        </w:rPr>
        <w:t xml:space="preserve">5 </w:t>
      </w:r>
      <w:proofErr w:type="spellStart"/>
      <w:r w:rsidR="000E34DC" w:rsidRPr="009D62B9">
        <w:rPr>
          <w:rFonts w:cs="Arial"/>
        </w:rPr>
        <w:t>yrs</w:t>
      </w:r>
      <w:proofErr w:type="spellEnd"/>
      <w:r w:rsidR="000E34DC" w:rsidRPr="009D62B9">
        <w:rPr>
          <w:rFonts w:cs="Arial"/>
        </w:rPr>
        <w:t xml:space="preserve"> of marriage at </w:t>
      </w:r>
      <w:r w:rsidRPr="009D62B9">
        <w:rPr>
          <w:rFonts w:cs="Arial"/>
        </w:rPr>
        <w:t xml:space="preserve">3 to </w:t>
      </w:r>
      <w:r w:rsidR="000E34DC" w:rsidRPr="009D62B9">
        <w:rPr>
          <w:rFonts w:cs="Arial"/>
        </w:rPr>
        <w:t>5 yearly intervals.</w:t>
      </w:r>
      <w:r w:rsidR="008B1830">
        <w:rPr>
          <w:rFonts w:cs="Arial"/>
        </w:rPr>
        <w:t xml:space="preserve"> VIA training should be mandatory </w:t>
      </w:r>
    </w:p>
    <w:p w:rsidR="000E34DC" w:rsidRPr="00594DCF" w:rsidRDefault="009D62B9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*</w:t>
      </w:r>
      <w:r w:rsidR="000E34DC" w:rsidRPr="00594DCF">
        <w:rPr>
          <w:rFonts w:eastAsia="Times New Roman" w:cs="Arial"/>
          <w:sz w:val="24"/>
          <w:szCs w:val="24"/>
        </w:rPr>
        <w:t xml:space="preserve">By the age of 35 years at least one Pap </w:t>
      </w:r>
      <w:proofErr w:type="gramStart"/>
      <w:r w:rsidR="000E34DC" w:rsidRPr="00594DCF">
        <w:rPr>
          <w:rFonts w:eastAsia="Times New Roman" w:cs="Arial"/>
          <w:sz w:val="24"/>
          <w:szCs w:val="24"/>
        </w:rPr>
        <w:t>Smear</w:t>
      </w:r>
      <w:r>
        <w:rPr>
          <w:rFonts w:eastAsia="Times New Roman" w:cs="Arial"/>
          <w:sz w:val="24"/>
          <w:szCs w:val="24"/>
        </w:rPr>
        <w:t>/</w:t>
      </w:r>
      <w:proofErr w:type="gramEnd"/>
      <w:r>
        <w:rPr>
          <w:rFonts w:eastAsia="Times New Roman" w:cs="Arial"/>
          <w:sz w:val="24"/>
          <w:szCs w:val="24"/>
        </w:rPr>
        <w:t>LBC/ HPV Testing</w:t>
      </w:r>
      <w:r w:rsidR="000E34DC" w:rsidRPr="00594DCF">
        <w:rPr>
          <w:rFonts w:eastAsia="Times New Roman" w:cs="Arial"/>
          <w:sz w:val="24"/>
          <w:szCs w:val="24"/>
        </w:rPr>
        <w:t xml:space="preserve"> or VIA screening should be done</w:t>
      </w:r>
    </w:p>
    <w:p w:rsidR="000E34DC" w:rsidRPr="009D62B9" w:rsidRDefault="009D62B9" w:rsidP="009D62B9">
      <w:pPr>
        <w:shd w:val="clear" w:color="auto" w:fill="FFFFFF"/>
        <w:spacing w:before="86" w:after="0" w:line="240" w:lineRule="auto"/>
        <w:textAlignment w:val="baseline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*</w:t>
      </w:r>
      <w:r w:rsidR="000E34DC" w:rsidRPr="00594DCF">
        <w:rPr>
          <w:rFonts w:eastAsia="Times New Roman" w:cs="Arial"/>
          <w:sz w:val="24"/>
          <w:szCs w:val="24"/>
        </w:rPr>
        <w:t>Stop doing Pap smears at 65 years age if previous smears have been normal</w:t>
      </w:r>
      <w:r w:rsidR="000E34DC">
        <w:rPr>
          <w:rFonts w:eastAsia="Times New Roman" w:cs="Arial"/>
          <w:sz w:val="24"/>
          <w:szCs w:val="24"/>
        </w:rPr>
        <w:t xml:space="preserve">, and no other risk </w:t>
      </w:r>
      <w:r>
        <w:rPr>
          <w:rFonts w:eastAsia="Times New Roman" w:cs="Arial"/>
          <w:sz w:val="24"/>
          <w:szCs w:val="24"/>
        </w:rPr>
        <w:t xml:space="preserve">  </w:t>
      </w:r>
      <w:r w:rsidR="000E34DC">
        <w:rPr>
          <w:rFonts w:eastAsia="Times New Roman" w:cs="Arial"/>
          <w:sz w:val="24"/>
          <w:szCs w:val="24"/>
        </w:rPr>
        <w:t>factors are present</w:t>
      </w:r>
      <w:r w:rsidR="000E34DC" w:rsidRPr="00594DCF">
        <w:rPr>
          <w:rFonts w:eastAsia="Times New Roman" w:cs="Arial"/>
          <w:sz w:val="24"/>
          <w:szCs w:val="24"/>
        </w:rPr>
        <w:t>.</w:t>
      </w:r>
    </w:p>
    <w:p w:rsidR="000E34DC" w:rsidRPr="00594DCF" w:rsidRDefault="000E34DC" w:rsidP="000E34DC">
      <w:pPr>
        <w:shd w:val="clear" w:color="auto" w:fill="FFFFFF"/>
        <w:spacing w:before="86" w:after="0" w:line="240" w:lineRule="auto"/>
        <w:textAlignment w:val="baseline"/>
        <w:rPr>
          <w:rFonts w:eastAsia="Times New Roman" w:cs="Calibri"/>
          <w:sz w:val="24"/>
          <w:szCs w:val="24"/>
          <w:shd w:val="clear" w:color="auto" w:fill="FFFFFF"/>
        </w:rPr>
      </w:pPr>
      <w:r w:rsidRPr="00594DCF">
        <w:rPr>
          <w:rFonts w:eastAsia="Times New Roman" w:cs="Calibri"/>
          <w:sz w:val="24"/>
          <w:szCs w:val="24"/>
          <w:shd w:val="clear" w:color="auto" w:fill="FFFFFF"/>
        </w:rPr>
        <w:t>La</w:t>
      </w:r>
      <w:r w:rsidR="000518FE">
        <w:rPr>
          <w:rFonts w:eastAsia="Times New Roman" w:cs="Calibri"/>
          <w:sz w:val="24"/>
          <w:szCs w:val="24"/>
          <w:shd w:val="clear" w:color="auto" w:fill="FFFFFF"/>
        </w:rPr>
        <w:t xml:space="preserve">ck of awareness and </w:t>
      </w:r>
      <w:r w:rsidRPr="00594DCF">
        <w:rPr>
          <w:rFonts w:eastAsia="Times New Roman" w:cs="Calibri"/>
          <w:sz w:val="24"/>
          <w:szCs w:val="24"/>
          <w:shd w:val="clear" w:color="auto" w:fill="FFFFFF"/>
        </w:rPr>
        <w:t>stigma associated with cervical cancer pose significant barriers to prevention. We need to play a greater role to create awareness amongst</w:t>
      </w:r>
      <w:r>
        <w:rPr>
          <w:rFonts w:eastAsia="Times New Roman" w:cs="Calibri"/>
          <w:sz w:val="24"/>
          <w:szCs w:val="24"/>
          <w:shd w:val="clear" w:color="auto" w:fill="FFFFFF"/>
        </w:rPr>
        <w:t xml:space="preserve"> other</w:t>
      </w:r>
      <w:r w:rsidRPr="00594DCF">
        <w:rPr>
          <w:rFonts w:eastAsia="Times New Roman" w:cs="Calibri"/>
          <w:sz w:val="24"/>
          <w:szCs w:val="24"/>
          <w:shd w:val="clear" w:color="auto" w:fill="FFFFFF"/>
        </w:rPr>
        <w:t xml:space="preserve"> </w:t>
      </w:r>
      <w:proofErr w:type="spellStart"/>
      <w:r w:rsidRPr="00594DCF">
        <w:rPr>
          <w:rFonts w:eastAsia="Times New Roman" w:cs="Calibri"/>
          <w:sz w:val="24"/>
          <w:szCs w:val="24"/>
          <w:shd w:val="clear" w:color="auto" w:fill="FFFFFF"/>
        </w:rPr>
        <w:t>Gynae</w:t>
      </w:r>
      <w:r>
        <w:rPr>
          <w:rFonts w:eastAsia="Times New Roman" w:cs="Calibri"/>
          <w:sz w:val="24"/>
          <w:szCs w:val="24"/>
          <w:shd w:val="clear" w:color="auto" w:fill="FFFFFF"/>
        </w:rPr>
        <w:t>cologists</w:t>
      </w:r>
      <w:proofErr w:type="spellEnd"/>
      <w:r>
        <w:rPr>
          <w:rFonts w:eastAsia="Times New Roman" w:cs="Calibri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eastAsia="Times New Roman" w:cs="Calibri"/>
          <w:sz w:val="24"/>
          <w:szCs w:val="24"/>
          <w:shd w:val="clear" w:color="auto" w:fill="FFFFFF"/>
        </w:rPr>
        <w:t>Paediatricians</w:t>
      </w:r>
      <w:proofErr w:type="spellEnd"/>
      <w:r>
        <w:rPr>
          <w:rFonts w:eastAsia="Times New Roman" w:cs="Calibri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eastAsia="Times New Roman" w:cs="Calibri"/>
          <w:sz w:val="24"/>
          <w:szCs w:val="24"/>
          <w:shd w:val="clear" w:color="auto" w:fill="FFFFFF"/>
        </w:rPr>
        <w:t xml:space="preserve"> general</w:t>
      </w:r>
      <w:r w:rsidRPr="00594DCF">
        <w:rPr>
          <w:rFonts w:eastAsia="Times New Roman" w:cs="Calibri"/>
          <w:sz w:val="24"/>
          <w:szCs w:val="24"/>
          <w:shd w:val="clear" w:color="auto" w:fill="FFFFFF"/>
        </w:rPr>
        <w:t xml:space="preserve"> physicians, women and general public.</w:t>
      </w:r>
    </w:p>
    <w:p w:rsidR="009D62B9" w:rsidRDefault="009D62B9" w:rsidP="009D62B9">
      <w:pPr>
        <w:shd w:val="clear" w:color="auto" w:fill="FFFFFF"/>
        <w:spacing w:before="86"/>
        <w:textAlignment w:val="baseline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*</w:t>
      </w:r>
      <w:r w:rsidRPr="009D62B9">
        <w:rPr>
          <w:rFonts w:cs="Calibri"/>
          <w:b/>
          <w:shd w:val="clear" w:color="auto" w:fill="FFFFFF"/>
        </w:rPr>
        <w:t>HPV Vaccination</w:t>
      </w:r>
      <w:r w:rsidRPr="009D62B9">
        <w:rPr>
          <w:rFonts w:cs="Calibri"/>
          <w:shd w:val="clear" w:color="auto" w:fill="FFFFFF"/>
        </w:rPr>
        <w:t xml:space="preserve"> should be added to the </w:t>
      </w:r>
      <w:r w:rsidRPr="009D62B9">
        <w:rPr>
          <w:rFonts w:cs="Calibri"/>
          <w:b/>
          <w:shd w:val="clear" w:color="auto" w:fill="FFFFFF"/>
        </w:rPr>
        <w:t>EPI schedule</w:t>
      </w:r>
      <w:r w:rsidRPr="009D62B9">
        <w:rPr>
          <w:rFonts w:cs="Calibri"/>
          <w:shd w:val="clear" w:color="auto" w:fill="FFFFFF"/>
        </w:rPr>
        <w:t xml:space="preserve">. </w:t>
      </w:r>
      <w:proofErr w:type="spellStart"/>
      <w:r w:rsidR="000E34DC" w:rsidRPr="009D62B9">
        <w:rPr>
          <w:rFonts w:cs="Calibri"/>
          <w:shd w:val="clear" w:color="auto" w:fill="FFFFFF"/>
        </w:rPr>
        <w:t>Paediatricians</w:t>
      </w:r>
      <w:proofErr w:type="spellEnd"/>
      <w:r w:rsidR="000E34DC" w:rsidRPr="009D62B9">
        <w:rPr>
          <w:rFonts w:cs="Calibri"/>
          <w:shd w:val="clear" w:color="auto" w:fill="FFFFFF"/>
        </w:rPr>
        <w:t xml:space="preserve"> should add HPV vaccination to the list of Vaccines to be administered on the Childs’s vaccination schedule card. They should further </w:t>
      </w:r>
      <w:r w:rsidR="000E34DC" w:rsidRPr="009D62B9">
        <w:rPr>
          <w:rFonts w:cs="Calibri"/>
          <w:shd w:val="clear" w:color="auto" w:fill="FFFFFF"/>
        </w:rPr>
        <w:lastRenderedPageBreak/>
        <w:t xml:space="preserve">advise those girls (and their mothers) who are not vaccinated early (age 9-14 years), that they must get vaccinated before marriage. </w:t>
      </w:r>
    </w:p>
    <w:p w:rsidR="0053498A" w:rsidRPr="00806C5D" w:rsidRDefault="009D62B9" w:rsidP="009D62B9">
      <w:pPr>
        <w:shd w:val="clear" w:color="auto" w:fill="FFFFFF"/>
        <w:spacing w:before="86"/>
        <w:textAlignment w:val="baseline"/>
        <w:rPr>
          <w:rFonts w:cs="Calibri"/>
          <w:sz w:val="24"/>
          <w:szCs w:val="24"/>
          <w:shd w:val="clear" w:color="auto" w:fill="FFFFFF"/>
        </w:rPr>
      </w:pPr>
      <w:r w:rsidRPr="009D62B9">
        <w:rPr>
          <w:rFonts w:cs="Calibri"/>
          <w:shd w:val="clear" w:color="auto" w:fill="FFFFFF"/>
        </w:rPr>
        <w:t>*</w:t>
      </w:r>
      <w:r w:rsidRPr="009D62B9">
        <w:rPr>
          <w:rFonts w:cs="Calibri"/>
          <w:b/>
          <w:shd w:val="clear" w:color="auto" w:fill="FFFFFF"/>
        </w:rPr>
        <w:t>P</w:t>
      </w:r>
      <w:r w:rsidR="000E34DC" w:rsidRPr="009D62B9">
        <w:rPr>
          <w:rFonts w:cs="Calibri"/>
          <w:b/>
          <w:shd w:val="clear" w:color="auto" w:fill="FFFFFF"/>
        </w:rPr>
        <w:t>re-marital consultation</w:t>
      </w:r>
      <w:r w:rsidR="000E34DC" w:rsidRPr="009D62B9">
        <w:rPr>
          <w:rFonts w:cs="Calibri"/>
          <w:shd w:val="clear" w:color="auto" w:fill="FFFFFF"/>
        </w:rPr>
        <w:t xml:space="preserve"> with a </w:t>
      </w:r>
      <w:proofErr w:type="spellStart"/>
      <w:r w:rsidR="000E34DC" w:rsidRPr="009D62B9">
        <w:rPr>
          <w:rFonts w:cs="Calibri"/>
          <w:shd w:val="clear" w:color="auto" w:fill="FFFFFF"/>
        </w:rPr>
        <w:t>gynaecologist</w:t>
      </w:r>
      <w:proofErr w:type="spellEnd"/>
      <w:r w:rsidR="000E34DC" w:rsidRPr="009D62B9">
        <w:rPr>
          <w:rFonts w:cs="Calibri"/>
          <w:shd w:val="clear" w:color="auto" w:fill="FFFFFF"/>
        </w:rPr>
        <w:t xml:space="preserve"> or family physician is also to be promoted, so that she gets health and contraceptive advice,</w:t>
      </w:r>
      <w:r>
        <w:rPr>
          <w:rFonts w:cs="Calibri"/>
          <w:shd w:val="clear" w:color="auto" w:fill="FFFFFF"/>
        </w:rPr>
        <w:t xml:space="preserve"> and HPV vaccination</w:t>
      </w:r>
      <w:r w:rsidR="000E34DC" w:rsidRPr="009D62B9">
        <w:rPr>
          <w:rFonts w:cs="Calibri"/>
          <w:shd w:val="clear" w:color="auto" w:fill="FFFFFF"/>
        </w:rPr>
        <w:t xml:space="preserve"> as well before marriage.</w:t>
      </w:r>
    </w:p>
    <w:p w:rsidR="00806C5D" w:rsidRPr="00806C5D" w:rsidRDefault="00806C5D" w:rsidP="00806C5D">
      <w:pPr>
        <w:kinsoku w:val="0"/>
        <w:overflowPunct w:val="0"/>
        <w:spacing w:after="145" w:line="223" w:lineRule="auto"/>
        <w:ind w:left="547" w:hanging="547"/>
        <w:textAlignment w:val="baseline"/>
        <w:rPr>
          <w:rFonts w:asciiTheme="minorHAnsi" w:eastAsia="Times New Roman" w:hAnsiTheme="minorHAnsi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</w:rPr>
        <w:t xml:space="preserve">HPV vaccination is equally effective in </w:t>
      </w:r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>women 45-</w:t>
      </w:r>
      <w:proofErr w:type="gramStart"/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 xml:space="preserve">50  </w:t>
      </w:r>
      <w:proofErr w:type="spellStart"/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>yrs</w:t>
      </w:r>
      <w:proofErr w:type="spellEnd"/>
      <w:proofErr w:type="gramEnd"/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 xml:space="preserve"> who are HPV DNA negative at vaccination</w:t>
      </w:r>
    </w:p>
    <w:p w:rsidR="00806C5D" w:rsidRPr="00806C5D" w:rsidRDefault="00806C5D" w:rsidP="00806C5D">
      <w:pPr>
        <w:kinsoku w:val="0"/>
        <w:overflowPunct w:val="0"/>
        <w:spacing w:after="145" w:line="223" w:lineRule="auto"/>
        <w:ind w:left="547" w:hanging="547"/>
        <w:textAlignment w:val="baseline"/>
        <w:rPr>
          <w:rFonts w:asciiTheme="minorHAnsi" w:eastAsia="Times New Roman" w:hAnsiTheme="minorHAnsi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</w:rPr>
        <w:t xml:space="preserve">• HPV vaccination is equally effective in women that are </w:t>
      </w:r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>HPV seropositive at vaccination</w:t>
      </w:r>
    </w:p>
    <w:p w:rsidR="00806C5D" w:rsidRPr="00806C5D" w:rsidRDefault="00806C5D" w:rsidP="00806C5D">
      <w:pPr>
        <w:kinsoku w:val="0"/>
        <w:overflowPunct w:val="0"/>
        <w:spacing w:after="145" w:line="223" w:lineRule="auto"/>
        <w:ind w:left="547" w:hanging="547"/>
        <w:textAlignment w:val="baseline"/>
        <w:rPr>
          <w:rFonts w:asciiTheme="minorHAnsi" w:eastAsia="Times New Roman" w:hAnsiTheme="minorHAnsi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</w:rPr>
        <w:t xml:space="preserve">• Vaccinated women show </w:t>
      </w:r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 xml:space="preserve">reduced recurrence rates after </w:t>
      </w:r>
      <w:proofErr w:type="spellStart"/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>conization</w:t>
      </w:r>
      <w:proofErr w:type="spellEnd"/>
    </w:p>
    <w:p w:rsidR="00806C5D" w:rsidRPr="00806C5D" w:rsidRDefault="00806C5D" w:rsidP="00806C5D">
      <w:pPr>
        <w:kinsoku w:val="0"/>
        <w:overflowPunct w:val="0"/>
        <w:spacing w:after="145" w:line="223" w:lineRule="auto"/>
        <w:ind w:left="547" w:hanging="547"/>
        <w:textAlignment w:val="baseline"/>
        <w:rPr>
          <w:rFonts w:asciiTheme="minorHAnsi" w:eastAsia="Times New Roman" w:hAnsiTheme="minorHAnsi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</w:rPr>
        <w:t xml:space="preserve">• Vaccination </w:t>
      </w:r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 xml:space="preserve">safety is endorsed by </w:t>
      </w:r>
      <w:proofErr w:type="gramStart"/>
      <w:r w:rsidRPr="00806C5D">
        <w:rPr>
          <w:rFonts w:asciiTheme="minorHAnsi" w:eastAsiaTheme="minorEastAsia" w:hAnsiTheme="minorHAnsi" w:cstheme="minorBidi"/>
          <w:i/>
          <w:iCs/>
          <w:color w:val="000000"/>
          <w:kern w:val="24"/>
        </w:rPr>
        <w:t xml:space="preserve">all  </w:t>
      </w:r>
      <w:r w:rsidRPr="00806C5D">
        <w:rPr>
          <w:rFonts w:asciiTheme="minorHAnsi" w:eastAsiaTheme="minorEastAsia" w:hAnsiTheme="minorHAnsi" w:cstheme="minorBidi"/>
          <w:color w:val="000000"/>
          <w:kern w:val="24"/>
        </w:rPr>
        <w:t>international</w:t>
      </w:r>
      <w:proofErr w:type="gramEnd"/>
      <w:r w:rsidRPr="00806C5D">
        <w:rPr>
          <w:rFonts w:asciiTheme="minorHAnsi" w:eastAsiaTheme="minorEastAsia" w:hAnsiTheme="minorHAnsi" w:cstheme="minorBidi"/>
          <w:color w:val="000000"/>
          <w:kern w:val="24"/>
        </w:rPr>
        <w:t xml:space="preserve"> and national review boards</w:t>
      </w:r>
    </w:p>
    <w:p w:rsidR="00806C5D" w:rsidRPr="00806C5D" w:rsidRDefault="00806C5D" w:rsidP="00806C5D">
      <w:pPr>
        <w:pStyle w:val="ListParagraph"/>
        <w:numPr>
          <w:ilvl w:val="0"/>
          <w:numId w:val="9"/>
        </w:numPr>
        <w:kinsoku w:val="0"/>
        <w:overflowPunct w:val="0"/>
        <w:spacing w:line="223" w:lineRule="auto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Current evidence suggests that from the public health perspective the bivalent, </w:t>
      </w:r>
      <w:proofErr w:type="spellStart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quadrivalent</w:t>
      </w:r>
      <w:proofErr w:type="spellEnd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 and </w:t>
      </w:r>
      <w:proofErr w:type="spellStart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nonavalent</w:t>
      </w:r>
      <w:proofErr w:type="spellEnd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 vaccines offer comparable immunogenicity, efficacy and effectiveness for the prevention of cervical cancer, which is mainly</w:t>
      </w:r>
      <w:r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 caused by HPV types 16 and 18</w:t>
      </w:r>
    </w:p>
    <w:p w:rsidR="00806C5D" w:rsidRPr="00806C5D" w:rsidRDefault="00806C5D" w:rsidP="00806C5D">
      <w:pPr>
        <w:pStyle w:val="ListParagraph"/>
        <w:numPr>
          <w:ilvl w:val="0"/>
          <w:numId w:val="9"/>
        </w:numPr>
        <w:kinsoku w:val="0"/>
        <w:overflowPunct w:val="0"/>
        <w:spacing w:line="223" w:lineRule="auto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Prevalence of the HPV-associated (cervical cancer, other HPV-associated cancers, or </w:t>
      </w:r>
      <w:proofErr w:type="spellStart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anogenital</w:t>
      </w:r>
      <w:proofErr w:type="spellEnd"/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 warts)</w:t>
      </w:r>
    </w:p>
    <w:p w:rsidR="00806C5D" w:rsidRPr="00806C5D" w:rsidRDefault="00806C5D" w:rsidP="00806C5D">
      <w:pPr>
        <w:pStyle w:val="ListParagraph"/>
        <w:numPr>
          <w:ilvl w:val="0"/>
          <w:numId w:val="9"/>
        </w:numPr>
        <w:kinsoku w:val="0"/>
        <w:overflowPunct w:val="0"/>
        <w:spacing w:line="223" w:lineRule="auto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 xml:space="preserve"> Price, and programmatic considerations</w:t>
      </w:r>
    </w:p>
    <w:p w:rsidR="00E245AF" w:rsidRPr="00806C5D" w:rsidRDefault="000518FE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hAnsiTheme="minorHAnsi"/>
          <w:color w:val="000000"/>
          <w:sz w:val="22"/>
          <w:szCs w:val="22"/>
        </w:rPr>
        <w:t xml:space="preserve">HPV types 16 and 18 cause </w:t>
      </w:r>
      <w:r w:rsidRPr="00806C5D">
        <w:rPr>
          <w:rFonts w:asciiTheme="minorHAnsi" w:hAnsiTheme="minorHAnsi"/>
          <w:b/>
          <w:bCs/>
          <w:color w:val="000000"/>
          <w:sz w:val="22"/>
          <w:szCs w:val="22"/>
        </w:rPr>
        <w:t>70%</w:t>
      </w:r>
      <w:r w:rsidRPr="00806C5D">
        <w:rPr>
          <w:rFonts w:asciiTheme="minorHAnsi" w:hAnsiTheme="minorHAnsi"/>
          <w:color w:val="000000"/>
          <w:sz w:val="22"/>
          <w:szCs w:val="22"/>
        </w:rPr>
        <w:t xml:space="preserve"> of Cervical ca cases globally</w:t>
      </w:r>
    </w:p>
    <w:p w:rsidR="00E245AF" w:rsidRPr="00806C5D" w:rsidRDefault="000518FE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hAnsiTheme="minorHAnsi"/>
          <w:color w:val="000000"/>
          <w:sz w:val="22"/>
          <w:szCs w:val="22"/>
        </w:rPr>
        <w:t xml:space="preserve">The </w:t>
      </w:r>
      <w:proofErr w:type="spellStart"/>
      <w:r w:rsidRPr="00806C5D">
        <w:rPr>
          <w:rFonts w:asciiTheme="minorHAnsi" w:hAnsiTheme="minorHAnsi"/>
          <w:color w:val="000000"/>
          <w:sz w:val="22"/>
          <w:szCs w:val="22"/>
        </w:rPr>
        <w:t>nonavalent</w:t>
      </w:r>
      <w:proofErr w:type="spellEnd"/>
      <w:r w:rsidRPr="00806C5D">
        <w:rPr>
          <w:rFonts w:asciiTheme="minorHAnsi" w:hAnsiTheme="minorHAnsi"/>
          <w:color w:val="000000"/>
          <w:sz w:val="22"/>
          <w:szCs w:val="22"/>
        </w:rPr>
        <w:t xml:space="preserve"> HPV vaccine (9vHPV) was licensed in 2014 and protects against the next five most common cancer-causing HPV types (HPV 31/33/45/52/58) after HPV 16/18 </w:t>
      </w:r>
    </w:p>
    <w:p w:rsidR="00E245AF" w:rsidRPr="00806C5D" w:rsidRDefault="000518FE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hAnsiTheme="minorHAnsi"/>
          <w:color w:val="000000"/>
          <w:sz w:val="22"/>
          <w:szCs w:val="22"/>
        </w:rPr>
        <w:t xml:space="preserve">Phase III clinical studies have demonstrated high vaccine efficacy </w:t>
      </w:r>
      <w:r w:rsidRPr="00806C5D">
        <w:rPr>
          <w:rFonts w:asciiTheme="minorHAnsi" w:hAnsiTheme="minorHAnsi"/>
          <w:b/>
          <w:bCs/>
          <w:color w:val="000000"/>
          <w:sz w:val="22"/>
          <w:szCs w:val="22"/>
        </w:rPr>
        <w:t xml:space="preserve">(&gt;90%) </w:t>
      </w:r>
      <w:r w:rsidRPr="00806C5D">
        <w:rPr>
          <w:rFonts w:asciiTheme="minorHAnsi" w:hAnsiTheme="minorHAnsi"/>
          <w:color w:val="000000"/>
          <w:sz w:val="22"/>
          <w:szCs w:val="22"/>
        </w:rPr>
        <w:t xml:space="preserve">against cervical, vulvar, and vaginal </w:t>
      </w:r>
      <w:proofErr w:type="spellStart"/>
      <w:r w:rsidRPr="00806C5D">
        <w:rPr>
          <w:rFonts w:asciiTheme="minorHAnsi" w:hAnsiTheme="minorHAnsi"/>
          <w:color w:val="000000"/>
          <w:sz w:val="22"/>
          <w:szCs w:val="22"/>
        </w:rPr>
        <w:t>precancers</w:t>
      </w:r>
      <w:proofErr w:type="spellEnd"/>
      <w:r w:rsidRPr="00806C5D">
        <w:rPr>
          <w:rFonts w:asciiTheme="minorHAnsi" w:hAnsiTheme="minorHAnsi"/>
          <w:color w:val="000000"/>
          <w:sz w:val="22"/>
          <w:szCs w:val="22"/>
        </w:rPr>
        <w:t xml:space="preserve"> caused by these additional types, and have shown comparable immunogenicity to the shared genotypes to </w:t>
      </w:r>
      <w:proofErr w:type="spellStart"/>
      <w:r w:rsidRPr="00806C5D">
        <w:rPr>
          <w:rFonts w:asciiTheme="minorHAnsi" w:hAnsiTheme="minorHAnsi"/>
          <w:color w:val="000000"/>
          <w:sz w:val="22"/>
          <w:szCs w:val="22"/>
        </w:rPr>
        <w:t>quadrivalent</w:t>
      </w:r>
      <w:proofErr w:type="spellEnd"/>
      <w:r w:rsidRPr="00806C5D">
        <w:rPr>
          <w:rFonts w:asciiTheme="minorHAnsi" w:hAnsiTheme="minorHAnsi"/>
          <w:color w:val="000000"/>
          <w:sz w:val="22"/>
          <w:szCs w:val="22"/>
        </w:rPr>
        <w:t xml:space="preserve"> HPV vaccine (4vHPV)</w:t>
      </w:r>
    </w:p>
    <w:p w:rsidR="00E245AF" w:rsidRPr="00806C5D" w:rsidRDefault="000518FE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hAnsiTheme="minorHAnsi"/>
          <w:color w:val="000000"/>
          <w:sz w:val="22"/>
          <w:szCs w:val="22"/>
        </w:rPr>
        <w:t xml:space="preserve">Vaccine efficacy and antibody responses for 9vHPV are found to persist for at least 5 </w:t>
      </w:r>
      <w:proofErr w:type="spellStart"/>
      <w:proofErr w:type="gramStart"/>
      <w:r w:rsidRPr="00806C5D">
        <w:rPr>
          <w:rFonts w:asciiTheme="minorHAnsi" w:hAnsiTheme="minorHAnsi"/>
          <w:color w:val="000000"/>
          <w:sz w:val="22"/>
          <w:szCs w:val="22"/>
        </w:rPr>
        <w:t>yrs</w:t>
      </w:r>
      <w:proofErr w:type="spellEnd"/>
      <w:r w:rsidRPr="00806C5D">
        <w:rPr>
          <w:rFonts w:asciiTheme="minorHAnsi" w:hAnsiTheme="minorHAnsi"/>
          <w:color w:val="000000"/>
          <w:sz w:val="22"/>
          <w:szCs w:val="22"/>
        </w:rPr>
        <w:t xml:space="preserve"> .</w:t>
      </w:r>
      <w:proofErr w:type="gramEnd"/>
      <w:r w:rsidRPr="00806C5D">
        <w:rPr>
          <w:rFonts w:asciiTheme="minorHAnsi" w:hAnsiTheme="minorHAnsi"/>
          <w:color w:val="000000"/>
          <w:sz w:val="22"/>
          <w:szCs w:val="22"/>
        </w:rPr>
        <w:t xml:space="preserve"> longer-term observational studies are ongoing to monitor long-term vaccine effectiveness</w:t>
      </w:r>
    </w:p>
    <w:p w:rsidR="00E245AF" w:rsidRPr="00806C5D" w:rsidRDefault="000518FE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hAnsiTheme="minorHAnsi"/>
          <w:color w:val="000000"/>
          <w:sz w:val="22"/>
          <w:szCs w:val="22"/>
        </w:rPr>
        <w:t xml:space="preserve">9vHPV vaccination has the potential to prevent up to </w:t>
      </w:r>
      <w:r w:rsidRPr="00806C5D">
        <w:rPr>
          <w:rFonts w:asciiTheme="minorHAnsi" w:hAnsiTheme="minorHAnsi"/>
          <w:b/>
          <w:bCs/>
          <w:color w:val="000000"/>
          <w:sz w:val="22"/>
          <w:szCs w:val="22"/>
        </w:rPr>
        <w:t>93%</w:t>
      </w:r>
      <w:r w:rsidRPr="00806C5D">
        <w:rPr>
          <w:rFonts w:asciiTheme="minorHAnsi" w:hAnsiTheme="minorHAnsi"/>
          <w:color w:val="000000"/>
          <w:sz w:val="22"/>
          <w:szCs w:val="22"/>
        </w:rPr>
        <w:t xml:space="preserve"> of cervical ca cases, as well as a significant proportion of other HPV-related </w:t>
      </w:r>
      <w:proofErr w:type="spellStart"/>
      <w:r w:rsidRPr="00806C5D">
        <w:rPr>
          <w:rFonts w:asciiTheme="minorHAnsi" w:hAnsiTheme="minorHAnsi"/>
          <w:color w:val="000000"/>
          <w:sz w:val="22"/>
          <w:szCs w:val="22"/>
        </w:rPr>
        <w:t>Anogenital</w:t>
      </w:r>
      <w:proofErr w:type="spellEnd"/>
      <w:r w:rsidRPr="00806C5D">
        <w:rPr>
          <w:rFonts w:asciiTheme="minorHAnsi" w:hAnsiTheme="minorHAnsi"/>
          <w:color w:val="000000"/>
          <w:sz w:val="22"/>
          <w:szCs w:val="22"/>
        </w:rPr>
        <w:t xml:space="preserve"> cancers</w:t>
      </w:r>
    </w:p>
    <w:p w:rsidR="00E245AF" w:rsidRPr="00806C5D" w:rsidRDefault="00806C5D" w:rsidP="00806C5D">
      <w:pPr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806C5D">
        <w:rPr>
          <w:rFonts w:asciiTheme="minorHAnsi" w:hAnsiTheme="minorHAnsi"/>
          <w:color w:val="000000"/>
          <w:lang w:val="en-GB"/>
        </w:rPr>
        <w:t>Vaccination + screening is the most effective approach to reduce the incidence of cervical cancer</w:t>
      </w:r>
    </w:p>
    <w:p w:rsidR="00E245AF" w:rsidRPr="00806C5D" w:rsidRDefault="000518FE" w:rsidP="00806C5D">
      <w:pPr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806C5D">
        <w:rPr>
          <w:rFonts w:asciiTheme="minorHAnsi" w:hAnsiTheme="minorHAnsi"/>
          <w:color w:val="000000"/>
          <w:lang w:val="en-GB"/>
        </w:rPr>
        <w:t>Modelling studies predict that high antibody titres could be sustained for decades &amp; Single dose may be enough</w:t>
      </w:r>
    </w:p>
    <w:p w:rsidR="00E245AF" w:rsidRPr="00806C5D" w:rsidRDefault="000518FE" w:rsidP="00806C5D">
      <w:pPr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806C5D">
        <w:rPr>
          <w:rFonts w:asciiTheme="minorHAnsi" w:hAnsiTheme="minorHAnsi"/>
          <w:color w:val="000000"/>
          <w:lang w:val="en-GB"/>
        </w:rPr>
        <w:t>long-term efficacy studies are awaited</w:t>
      </w:r>
    </w:p>
    <w:p w:rsidR="00E245AF" w:rsidRPr="00806C5D" w:rsidRDefault="000518FE" w:rsidP="00806C5D">
      <w:pPr>
        <w:numPr>
          <w:ilvl w:val="0"/>
          <w:numId w:val="9"/>
        </w:numPr>
        <w:rPr>
          <w:rFonts w:asciiTheme="minorHAnsi" w:hAnsiTheme="minorHAnsi"/>
          <w:color w:val="000000"/>
        </w:rPr>
      </w:pPr>
      <w:proofErr w:type="spellStart"/>
      <w:r w:rsidRPr="00806C5D">
        <w:rPr>
          <w:rFonts w:asciiTheme="minorHAnsi" w:hAnsiTheme="minorHAnsi"/>
          <w:color w:val="000000"/>
          <w:lang w:val="en-GB"/>
        </w:rPr>
        <w:t>Colposcopic</w:t>
      </w:r>
      <w:proofErr w:type="spellEnd"/>
      <w:r w:rsidRPr="00806C5D">
        <w:rPr>
          <w:rFonts w:asciiTheme="minorHAnsi" w:hAnsiTheme="minorHAnsi"/>
          <w:color w:val="000000"/>
          <w:lang w:val="en-GB"/>
        </w:rPr>
        <w:t xml:space="preserve"> guided LLETZ excision Biopsy of CIN Lesions is most appropriate for young women who wish to retain fertility</w:t>
      </w:r>
    </w:p>
    <w:p w:rsidR="00E245AF" w:rsidRPr="00806C5D" w:rsidRDefault="000518FE" w:rsidP="00806C5D">
      <w:pPr>
        <w:numPr>
          <w:ilvl w:val="0"/>
          <w:numId w:val="9"/>
        </w:numPr>
        <w:rPr>
          <w:rFonts w:asciiTheme="minorHAnsi" w:hAnsiTheme="minorHAnsi"/>
          <w:color w:val="000000"/>
        </w:rPr>
      </w:pPr>
      <w:r w:rsidRPr="00806C5D">
        <w:rPr>
          <w:rFonts w:asciiTheme="minorHAnsi" w:hAnsiTheme="minorHAnsi"/>
          <w:color w:val="000000"/>
          <w:lang w:val="en-GB"/>
        </w:rPr>
        <w:t>Hysterectomy for women who do not want further children &amp; have other co-</w:t>
      </w:r>
      <w:proofErr w:type="spellStart"/>
      <w:r w:rsidRPr="00806C5D">
        <w:rPr>
          <w:rFonts w:asciiTheme="minorHAnsi" w:hAnsiTheme="minorHAnsi"/>
          <w:color w:val="000000"/>
          <w:lang w:val="en-GB"/>
        </w:rPr>
        <w:t>morbids</w:t>
      </w:r>
      <w:proofErr w:type="spellEnd"/>
    </w:p>
    <w:p w:rsidR="00806C5D" w:rsidRPr="00806C5D" w:rsidRDefault="00806C5D" w:rsidP="00806C5D">
      <w:pPr>
        <w:rPr>
          <w:rFonts w:asciiTheme="minorHAnsi" w:hAnsiTheme="minorHAnsi"/>
          <w:color w:val="000000"/>
        </w:rPr>
      </w:pPr>
      <w:r w:rsidRPr="00806C5D">
        <w:rPr>
          <w:rFonts w:asciiTheme="minorHAnsi" w:hAnsiTheme="minorHAnsi"/>
          <w:color w:val="000000"/>
        </w:rPr>
        <w:t>References:</w:t>
      </w:r>
    </w:p>
    <w:p w:rsidR="00806C5D" w:rsidRPr="00806C5D" w:rsidRDefault="0099167D" w:rsidP="00806C5D">
      <w:pPr>
        <w:pStyle w:val="ListParagraph"/>
        <w:numPr>
          <w:ilvl w:val="0"/>
          <w:numId w:val="9"/>
        </w:numPr>
        <w:rPr>
          <w:rFonts w:asciiTheme="minorHAnsi" w:hAnsiTheme="minorHAnsi"/>
          <w:color w:val="000000"/>
          <w:sz w:val="22"/>
          <w:szCs w:val="22"/>
        </w:rPr>
      </w:pPr>
      <w:hyperlink r:id="rId6" w:history="1">
        <w:r w:rsidR="00806C5D" w:rsidRPr="00806C5D">
          <w:rPr>
            <w:rStyle w:val="Hyperlink"/>
            <w:rFonts w:asciiTheme="minorHAnsi" w:hAnsiTheme="minorHAnsi"/>
            <w:sz w:val="22"/>
            <w:szCs w:val="22"/>
          </w:rPr>
          <w:t>https://www.dovepress.com/recombinant-human-papillomavirus-nonavalent-vaccine-in-the-prevention--peer-reviewed-fulltext-article-IDR</w:t>
        </w:r>
      </w:hyperlink>
    </w:p>
    <w:p w:rsidR="00806C5D" w:rsidRPr="00806C5D" w:rsidRDefault="00806C5D" w:rsidP="00806C5D">
      <w:pPr>
        <w:pStyle w:val="ListParagraph"/>
        <w:numPr>
          <w:ilvl w:val="0"/>
          <w:numId w:val="9"/>
        </w:numPr>
        <w:kinsoku w:val="0"/>
        <w:overflowPunct w:val="0"/>
        <w:spacing w:line="223" w:lineRule="auto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806C5D">
        <w:rPr>
          <w:rFonts w:asciiTheme="minorHAnsi" w:eastAsiaTheme="minorEastAsia" w:hAnsiTheme="minorHAnsi" w:cstheme="minorBidi"/>
          <w:color w:val="000000"/>
          <w:kern w:val="24"/>
          <w:sz w:val="22"/>
          <w:szCs w:val="22"/>
        </w:rPr>
        <w:t>Evidence to recommendation table on choice of vaccine. Available at http://www. who.int/entity/immunization/policy/position_papers/hpv_choice_recommendation_table.pdf, accessed May 2017</w:t>
      </w:r>
    </w:p>
    <w:p w:rsidR="009D62B9" w:rsidRPr="009D62B9" w:rsidRDefault="009D62B9" w:rsidP="009D62B9">
      <w:pPr>
        <w:shd w:val="clear" w:color="auto" w:fill="FFFFFF"/>
        <w:spacing w:before="86"/>
        <w:textAlignment w:val="baseline"/>
        <w:rPr>
          <w:rFonts w:cs="Arial"/>
        </w:rPr>
      </w:pPr>
    </w:p>
    <w:sectPr w:rsidR="009D62B9" w:rsidRPr="009D62B9" w:rsidSect="00534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023"/>
    <w:multiLevelType w:val="hybridMultilevel"/>
    <w:tmpl w:val="288C0E78"/>
    <w:lvl w:ilvl="0" w:tplc="57D0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6B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809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E4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24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63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8C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F2989"/>
    <w:multiLevelType w:val="hybridMultilevel"/>
    <w:tmpl w:val="359ADFDE"/>
    <w:lvl w:ilvl="0" w:tplc="F7FC4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FE6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AE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4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4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A3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7763BC"/>
    <w:multiLevelType w:val="hybridMultilevel"/>
    <w:tmpl w:val="E4320DB4"/>
    <w:lvl w:ilvl="0" w:tplc="3538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8A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4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E5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AD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27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28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88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BB0F45"/>
    <w:multiLevelType w:val="hybridMultilevel"/>
    <w:tmpl w:val="D5A8166E"/>
    <w:lvl w:ilvl="0" w:tplc="F1C00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4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CB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5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E82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8E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40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09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C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1A769F"/>
    <w:multiLevelType w:val="hybridMultilevel"/>
    <w:tmpl w:val="0158FFC6"/>
    <w:lvl w:ilvl="0" w:tplc="D644A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A1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6A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D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E3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68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CE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D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7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4F100E"/>
    <w:multiLevelType w:val="hybridMultilevel"/>
    <w:tmpl w:val="1F44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06B9D"/>
    <w:multiLevelType w:val="hybridMultilevel"/>
    <w:tmpl w:val="7208F936"/>
    <w:lvl w:ilvl="0" w:tplc="3E584B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44DCD"/>
    <w:multiLevelType w:val="hybridMultilevel"/>
    <w:tmpl w:val="E0C208EA"/>
    <w:lvl w:ilvl="0" w:tplc="6B4E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E8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A7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A1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6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EF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C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07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8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752ADD"/>
    <w:multiLevelType w:val="hybridMultilevel"/>
    <w:tmpl w:val="1458E13A"/>
    <w:lvl w:ilvl="0" w:tplc="07467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E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8D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AC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08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80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67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82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0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9A0371"/>
    <w:multiLevelType w:val="hybridMultilevel"/>
    <w:tmpl w:val="4A2CF45A"/>
    <w:lvl w:ilvl="0" w:tplc="BB703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E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21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62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E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6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A9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64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0E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553268"/>
    <w:multiLevelType w:val="hybridMultilevel"/>
    <w:tmpl w:val="E0D01CE6"/>
    <w:lvl w:ilvl="0" w:tplc="1DC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63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A7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6D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4D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6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7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A1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DC"/>
    <w:rsid w:val="00031FA8"/>
    <w:rsid w:val="000518FE"/>
    <w:rsid w:val="000E34DC"/>
    <w:rsid w:val="0041278F"/>
    <w:rsid w:val="0053498A"/>
    <w:rsid w:val="00806C5D"/>
    <w:rsid w:val="008B1830"/>
    <w:rsid w:val="0099167D"/>
    <w:rsid w:val="009D62B9"/>
    <w:rsid w:val="00E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2DE0"/>
  <w15:docId w15:val="{AB2A37E2-293D-44F2-A571-6F1276B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2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845">
          <w:marLeft w:val="44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200">
          <w:marLeft w:val="44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636">
          <w:marLeft w:val="446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154">
          <w:marLeft w:val="243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174">
          <w:marLeft w:val="547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760">
          <w:marLeft w:val="547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33">
          <w:marLeft w:val="547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313">
          <w:marLeft w:val="547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046">
          <w:marLeft w:val="547"/>
          <w:marRight w:val="0"/>
          <w:marTop w:val="0"/>
          <w:marBottom w:val="1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vepress.com/recombinant-human-papillomavirus-nonavalent-vaccine-in-the-prevention--peer-reviewed-fulltext-article-ID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 POUL</dc:creator>
  <cp:lastModifiedBy>Windows User</cp:lastModifiedBy>
  <cp:revision>4</cp:revision>
  <dcterms:created xsi:type="dcterms:W3CDTF">2020-08-19T05:30:00Z</dcterms:created>
  <dcterms:modified xsi:type="dcterms:W3CDTF">2020-08-19T05:33:00Z</dcterms:modified>
</cp:coreProperties>
</file>